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>
      <w:pPr>
        <w:spacing w:before="83" w:line="360" w:lineRule="auto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/>
        </w:rPr>
        <w:t>4</w:t>
      </w:r>
      <w:r>
        <w:rPr>
          <w:rFonts w:asciiTheme="majorEastAsia" w:hAnsiTheme="majorEastAsia" w:eastAsiaTheme="majorEastAsia"/>
          <w:b/>
          <w:sz w:val="32"/>
        </w:rPr>
        <w:t xml:space="preserve"> 年分类考试招生</w:t>
      </w:r>
    </w:p>
    <w:p>
      <w:pPr>
        <w:spacing w:before="83" w:line="360" w:lineRule="auto"/>
        <w:jc w:val="center"/>
        <w:rPr>
          <w:rFonts w:asciiTheme="majorEastAsia" w:hAnsiTheme="majorEastAsia" w:eastAsiaTheme="majorEastAsia"/>
          <w:b/>
          <w:sz w:val="34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中药学</w:t>
      </w:r>
      <w:r>
        <w:rPr>
          <w:rFonts w:asciiTheme="majorEastAsia" w:hAnsiTheme="majorEastAsia" w:eastAsiaTheme="majorEastAsia"/>
          <w:b/>
          <w:color w:val="FF0000"/>
          <w:sz w:val="32"/>
        </w:rPr>
        <w:t>专业</w:t>
      </w:r>
      <w:r>
        <w:rPr>
          <w:rFonts w:asciiTheme="majorEastAsia" w:hAnsiTheme="majorEastAsia" w:eastAsiaTheme="majorEastAsia"/>
          <w:b/>
          <w:sz w:val="32"/>
        </w:rPr>
        <w:t>职业技能测试大纲</w:t>
      </w:r>
    </w:p>
    <w:p>
      <w:pPr>
        <w:pStyle w:val="2"/>
        <w:spacing w:line="360" w:lineRule="auto"/>
        <w:ind w:left="0" w:right="315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lang w:val="en-US"/>
        </w:rPr>
        <w:t xml:space="preserve">                      </w:t>
      </w:r>
      <w:r>
        <w:rPr>
          <w:rFonts w:hint="eastAsia" w:asciiTheme="majorEastAsia" w:hAnsiTheme="majorEastAsia" w:eastAsiaTheme="majorEastAsia"/>
        </w:rPr>
        <w:t>（适用于中职毕业生）</w:t>
      </w:r>
    </w:p>
    <w:p>
      <w:pPr>
        <w:pStyle w:val="3"/>
        <w:spacing w:before="161" w:line="360" w:lineRule="auto"/>
        <w:ind w:left="220" w:right="218" w:firstLine="436"/>
        <w:jc w:val="both"/>
        <w:rPr>
          <w:rFonts w:asciiTheme="majorEastAsia" w:hAnsiTheme="majorEastAsia" w:eastAsiaTheme="majorEastAsia"/>
          <w:spacing w:val="-7"/>
        </w:rPr>
      </w:pPr>
      <w:r>
        <w:rPr>
          <w:rFonts w:asciiTheme="majorEastAsia" w:hAnsiTheme="majorEastAsia" w:eastAsiaTheme="majorEastAsia"/>
          <w:spacing w:val="-3"/>
        </w:rPr>
        <w:t>包括专业能力测试和技术技能测试，专业能力测试以教育部发布的《中等职</w:t>
      </w:r>
      <w:r>
        <w:rPr>
          <w:rFonts w:asciiTheme="majorEastAsia" w:hAnsiTheme="majorEastAsia" w:eastAsiaTheme="majorEastAsia"/>
          <w:spacing w:val="-8"/>
        </w:rPr>
        <w:t>业学校</w:t>
      </w:r>
      <w:r>
        <w:rPr>
          <w:rFonts w:hint="eastAsia" w:asciiTheme="majorEastAsia" w:hAnsiTheme="majorEastAsia" w:eastAsiaTheme="majorEastAsia"/>
          <w:spacing w:val="-8"/>
          <w:lang w:val="en-US"/>
        </w:rPr>
        <w:t>中药</w:t>
      </w:r>
      <w:r>
        <w:rPr>
          <w:rFonts w:asciiTheme="majorEastAsia" w:hAnsiTheme="majorEastAsia" w:eastAsiaTheme="majorEastAsia"/>
          <w:spacing w:val="-8"/>
        </w:rPr>
        <w:t>专业教学标准》的核心专业知识为基本依据，重点考察综合</w:t>
      </w:r>
      <w:r>
        <w:rPr>
          <w:rFonts w:asciiTheme="majorEastAsia" w:hAnsiTheme="majorEastAsia" w:eastAsiaTheme="majorEastAsia"/>
          <w:spacing w:val="-12"/>
        </w:rPr>
        <w:t>专业能力；技术技能测试以教育部发布的《中等职业学校</w:t>
      </w:r>
      <w:r>
        <w:rPr>
          <w:rFonts w:hint="eastAsia" w:asciiTheme="majorEastAsia" w:hAnsiTheme="majorEastAsia" w:eastAsiaTheme="majorEastAsia"/>
          <w:spacing w:val="-12"/>
          <w:lang w:val="en-US"/>
        </w:rPr>
        <w:t>中药</w:t>
      </w:r>
      <w:r>
        <w:rPr>
          <w:rFonts w:asciiTheme="majorEastAsia" w:hAnsiTheme="majorEastAsia" w:eastAsiaTheme="majorEastAsia"/>
          <w:spacing w:val="-12"/>
        </w:rPr>
        <w:t>专业教学</w:t>
      </w:r>
      <w:r>
        <w:rPr>
          <w:rFonts w:asciiTheme="majorEastAsia" w:hAnsiTheme="majorEastAsia" w:eastAsiaTheme="majorEastAsia"/>
          <w:spacing w:val="-11"/>
        </w:rPr>
        <w:t>标准》的核心技术技能为基本依据，充分体现岗位技能、通用技术等内容。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/>
        </w:rPr>
        <w:t>测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</w:p>
    <w:p>
      <w:pPr>
        <w:spacing w:before="3" w:line="360" w:lineRule="auto"/>
        <w:ind w:right="5643"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一、测试形式</w:t>
      </w:r>
      <w:bookmarkStart w:id="0" w:name="_GoBack"/>
      <w:bookmarkEnd w:id="0"/>
    </w:p>
    <w:p>
      <w:pPr>
        <w:pStyle w:val="3"/>
        <w:ind w:left="557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/>
        </w:rPr>
        <w:t>测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方式测试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spacing w:val="-10"/>
          <w:lang w:val="en-US"/>
        </w:rPr>
        <w:t xml:space="preserve"> 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>
      <w:pPr>
        <w:pStyle w:val="2"/>
        <w:spacing w:line="360" w:lineRule="auto"/>
        <w:jc w:val="both"/>
        <w:rPr>
          <w:rFonts w:asciiTheme="majorEastAsia" w:hAnsiTheme="majorEastAsia" w:eastAsiaTheme="majorEastAsia"/>
        </w:rPr>
      </w:pPr>
    </w:p>
    <w:p>
      <w:pPr>
        <w:pStyle w:val="2"/>
        <w:spacing w:line="360" w:lineRule="auto"/>
        <w:ind w:left="0" w:firstLine="482" w:firstLineChars="200"/>
        <w:jc w:val="both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二、测试内容</w:t>
      </w:r>
    </w:p>
    <w:p>
      <w:pPr>
        <w:spacing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tbl>
      <w:tblPr>
        <w:tblStyle w:val="5"/>
        <w:tblW w:w="472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8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1" w:type="pct"/>
            <w:vAlign w:val="center"/>
          </w:tcPr>
          <w:p>
            <w:pPr>
              <w:spacing w:before="120" w:beforeLines="50" w:after="120" w:afterLines="50"/>
              <w:jc w:val="both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</w:p>
          <w:p>
            <w:pPr>
              <w:spacing w:before="120" w:beforeLines="50" w:after="120" w:afterLines="50"/>
              <w:jc w:val="both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知识</w:t>
            </w:r>
          </w:p>
        </w:tc>
        <w:tc>
          <w:tcPr>
            <w:tcW w:w="4548" w:type="pct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核心知识内容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1" w:type="pct"/>
            <w:vAlign w:val="center"/>
          </w:tcPr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中药学</w:t>
            </w:r>
          </w:p>
        </w:tc>
        <w:tc>
          <w:tcPr>
            <w:tcW w:w="4548" w:type="pct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（1）掌握中药四气、五味、升降浮沉、归经、毒性、炮制目的及部分常用炮制方法、配伍、用药禁忌、剂量及用法等基本理论</w:t>
            </w: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；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（2）</w:t>
            </w: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了解中药的起源、中药学的发展概况、中药的来源、产地及采集等知识</w:t>
            </w: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；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（3）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掌握常用中药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功效及基本临床应用特点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；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熟悉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常用中药的特殊用法和毒性中药的用量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7" w:hRule="atLeast"/>
          <w:jc w:val="center"/>
        </w:trPr>
        <w:tc>
          <w:tcPr>
            <w:tcW w:w="451" w:type="pct"/>
            <w:vAlign w:val="center"/>
          </w:tcPr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中药调剂技术</w:t>
            </w:r>
          </w:p>
        </w:tc>
        <w:tc>
          <w:tcPr>
            <w:tcW w:w="4548" w:type="pct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（1）掌握中药处方常用术语、中药处方应付常规、中药配伍禁忌等知识，了解中药处方的管理制度；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（2）掌握中药饮片的调配程序；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（3）掌握中药临方炮制的相关知识；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（4）理解汤剂制备的理论知识；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（5）了解中药调剂的基本知识；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  <w:t>（6）了解中成药销售的相关知识，理解中药贮藏保管的理论知识。</w:t>
            </w:r>
          </w:p>
        </w:tc>
      </w:tr>
    </w:tbl>
    <w:p>
      <w:pPr>
        <w:spacing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</w:p>
    <w:p>
      <w:pPr>
        <w:spacing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</w:p>
    <w:p>
      <w:pPr>
        <w:spacing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3"/>
        <w:gridCol w:w="6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3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专业技能</w:t>
            </w:r>
          </w:p>
        </w:tc>
        <w:tc>
          <w:tcPr>
            <w:tcW w:w="6190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核心技能内容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3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中药鉴定技能</w:t>
            </w:r>
          </w:p>
        </w:tc>
        <w:tc>
          <w:tcPr>
            <w:tcW w:w="6190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常用中药的来源鉴别方法；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3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</w:p>
        </w:tc>
        <w:tc>
          <w:tcPr>
            <w:tcW w:w="6190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  <w:t>常用中药的性状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特征与鉴别方法；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83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</w:p>
        </w:tc>
        <w:tc>
          <w:tcPr>
            <w:tcW w:w="6190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显微镜的使用及</w:t>
            </w:r>
            <w:r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  <w:t>常用中药的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显微特征；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583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</w:p>
        </w:tc>
        <w:tc>
          <w:tcPr>
            <w:tcW w:w="6190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取样方法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583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</w:p>
        </w:tc>
        <w:tc>
          <w:tcPr>
            <w:tcW w:w="6190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常用中药理化鉴定方法；</w:t>
            </w:r>
          </w:p>
        </w:tc>
      </w:tr>
    </w:tbl>
    <w:p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p>
      <w:pPr>
        <w:spacing w:before="120" w:beforeLines="50"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>
      <w:pPr>
        <w:pStyle w:val="3"/>
        <w:spacing w:before="120" w:beforeLines="50" w:line="364" w:lineRule="auto"/>
        <w:ind w:right="459" w:firstLine="448" w:firstLineChars="200"/>
        <w:jc w:val="both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8"/>
        </w:rPr>
        <w:t>本测试无指定参考教材，可参考中职教材《</w:t>
      </w:r>
      <w:r>
        <w:rPr>
          <w:rFonts w:hint="eastAsia" w:asciiTheme="majorEastAsia" w:hAnsiTheme="majorEastAsia" w:eastAsiaTheme="majorEastAsia"/>
          <w:spacing w:val="-8"/>
          <w:lang w:val="en-US"/>
        </w:rPr>
        <w:t>中药学</w:t>
      </w:r>
      <w:r>
        <w:rPr>
          <w:rFonts w:asciiTheme="majorEastAsia" w:hAnsiTheme="majorEastAsia" w:eastAsiaTheme="majorEastAsia"/>
          <w:spacing w:val="-8"/>
        </w:rPr>
        <w:t>》</w:t>
      </w:r>
      <w:r>
        <w:rPr>
          <w:rFonts w:asciiTheme="majorEastAsia" w:hAnsiTheme="majorEastAsia" w:eastAsiaTheme="majorEastAsia"/>
          <w:spacing w:val="-21"/>
        </w:rPr>
        <w:t>《</w:t>
      </w:r>
      <w:r>
        <w:rPr>
          <w:rFonts w:hint="eastAsia" w:asciiTheme="majorEastAsia" w:hAnsiTheme="majorEastAsia" w:eastAsiaTheme="majorEastAsia"/>
          <w:spacing w:val="-21"/>
          <w:lang w:val="en-US"/>
        </w:rPr>
        <w:t>中药调剂技术</w:t>
      </w:r>
      <w:r>
        <w:rPr>
          <w:rFonts w:asciiTheme="majorEastAsia" w:hAnsiTheme="majorEastAsia" w:eastAsiaTheme="majorEastAsia"/>
          <w:spacing w:val="-21"/>
        </w:rPr>
        <w:t>》</w:t>
      </w:r>
      <w:r>
        <w:rPr>
          <w:rFonts w:asciiTheme="majorEastAsia" w:hAnsiTheme="majorEastAsia" w:eastAsiaTheme="majorEastAsia"/>
          <w:spacing w:val="-8"/>
        </w:rPr>
        <w:t>《</w:t>
      </w:r>
      <w:r>
        <w:rPr>
          <w:rFonts w:hint="eastAsia" w:asciiTheme="majorEastAsia" w:hAnsiTheme="majorEastAsia" w:eastAsiaTheme="majorEastAsia"/>
          <w:spacing w:val="-8"/>
          <w:lang w:val="en-US"/>
        </w:rPr>
        <w:t>中药鉴定技术</w:t>
      </w:r>
      <w:r>
        <w:rPr>
          <w:rFonts w:asciiTheme="majorEastAsia" w:hAnsiTheme="majorEastAsia" w:eastAsiaTheme="majorEastAsia"/>
          <w:spacing w:val="-21"/>
        </w:rPr>
        <w:t>》</w:t>
      </w:r>
      <w:r>
        <w:rPr>
          <w:rFonts w:hint="eastAsia" w:asciiTheme="majorEastAsia" w:hAnsiTheme="majorEastAsia" w:eastAsiaTheme="majorEastAsia"/>
          <w:spacing w:val="-21"/>
          <w:lang w:val="en-US"/>
        </w:rPr>
        <w:t>等相关教材</w:t>
      </w:r>
      <w:r>
        <w:rPr>
          <w:rFonts w:asciiTheme="majorEastAsia" w:hAnsiTheme="majorEastAsia" w:eastAsiaTheme="majorEastAsia"/>
          <w:spacing w:val="-21"/>
        </w:rPr>
        <w:t>。</w:t>
      </w:r>
    </w:p>
    <w:sectPr>
      <w:footerReference r:id="rId3" w:type="default"/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3725545</wp:posOffset>
              </wp:positionH>
              <wp:positionV relativeFrom="page">
                <wp:posOffset>9793605</wp:posOffset>
              </wp:positionV>
              <wp:extent cx="109220" cy="1397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 o:gfxdata="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hFsfrcAAAADQEAAA8AAAAAAAAAAQAgAAAAIgAAAGRycy9kb3ducmV2Lnht&#10;bFBLAQIUABQAAAAIAIdO4kAfZRS4vAEAAHQDAAAOAAAAAAAAAAEAIAAAACs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MzIxNWRiYTAyMzdlNDA0NmRmOGYxNTBiZjVhYWIifQ=="/>
  </w:docVars>
  <w:rsids>
    <w:rsidRoot w:val="00123A31"/>
    <w:rsid w:val="00123A31"/>
    <w:rsid w:val="005648B5"/>
    <w:rsid w:val="00864D48"/>
    <w:rsid w:val="009B3ACD"/>
    <w:rsid w:val="0A8034A8"/>
    <w:rsid w:val="105D5087"/>
    <w:rsid w:val="151632A6"/>
    <w:rsid w:val="1D7A2EE8"/>
    <w:rsid w:val="1FA0219D"/>
    <w:rsid w:val="1FB21F45"/>
    <w:rsid w:val="34190265"/>
    <w:rsid w:val="34311A53"/>
    <w:rsid w:val="38617612"/>
    <w:rsid w:val="3C2637F5"/>
    <w:rsid w:val="3CE33B06"/>
    <w:rsid w:val="42F06635"/>
    <w:rsid w:val="4387343D"/>
    <w:rsid w:val="4E4A6D18"/>
    <w:rsid w:val="501246FA"/>
    <w:rsid w:val="556233C2"/>
    <w:rsid w:val="56306A8D"/>
    <w:rsid w:val="5AB521E6"/>
    <w:rsid w:val="5D7323B3"/>
    <w:rsid w:val="5DB14DEE"/>
    <w:rsid w:val="63BE65AF"/>
    <w:rsid w:val="63DC07E4"/>
    <w:rsid w:val="6682496B"/>
    <w:rsid w:val="66D25ECE"/>
    <w:rsid w:val="68355456"/>
    <w:rsid w:val="6C446100"/>
    <w:rsid w:val="6CF40364"/>
    <w:rsid w:val="6ECE7087"/>
    <w:rsid w:val="71237A52"/>
    <w:rsid w:val="74CF56A3"/>
    <w:rsid w:val="762878B8"/>
    <w:rsid w:val="7AC758F2"/>
    <w:rsid w:val="7D82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spacing w:before="160"/>
    </w:pPr>
    <w:rPr>
      <w:sz w:val="24"/>
      <w:szCs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</w:style>
  <w:style w:type="paragraph" w:customStyle="1" w:styleId="9">
    <w:name w:val="Table Paragraph"/>
    <w:basedOn w:val="1"/>
    <w:autoRedefine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663</Characters>
  <Lines>5</Lines>
  <Paragraphs>1</Paragraphs>
  <TotalTime>2</TotalTime>
  <ScaleCrop>false</ScaleCrop>
  <LinksUpToDate>false</LinksUpToDate>
  <CharactersWithSpaces>778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DELL</cp:lastModifiedBy>
  <dcterms:modified xsi:type="dcterms:W3CDTF">2024-03-13T08:59:25Z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E54F83B6CAAE408594796E1B1C03B343_13</vt:lpwstr>
  </property>
</Properties>
</file>