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10"/>
        <w:rPr>
          <w:rFonts w:ascii="Times New Roman"/>
          <w:sz w:val="10"/>
        </w:rPr>
      </w:pPr>
    </w:p>
    <w:p>
      <w:pPr>
        <w:spacing w:before="83" w:line="360" w:lineRule="auto"/>
        <w:ind w:right="0"/>
        <w:jc w:val="center"/>
        <w:rPr>
          <w:b/>
          <w:sz w:val="34"/>
        </w:rPr>
      </w:pPr>
      <w:r>
        <w:rPr>
          <w:rFonts w:ascii="Cambria" w:eastAsia="Cambria"/>
          <w:b/>
          <w:sz w:val="32"/>
        </w:rPr>
        <w:t xml:space="preserve">2022 </w:t>
      </w:r>
      <w:r>
        <w:rPr>
          <w:b/>
          <w:sz w:val="32"/>
        </w:rPr>
        <w:t>年分类考试招生</w:t>
      </w:r>
      <w:r>
        <w:rPr>
          <w:rFonts w:hint="eastAsia"/>
          <w:b/>
          <w:color w:val="auto"/>
          <w:sz w:val="32"/>
          <w:lang w:val="en-US" w:eastAsia="zh-CN"/>
        </w:rPr>
        <w:t>药学</w:t>
      </w:r>
      <w:r>
        <w:rPr>
          <w:b/>
          <w:color w:val="auto"/>
          <w:sz w:val="32"/>
        </w:rPr>
        <w:t>专业</w:t>
      </w:r>
      <w:r>
        <w:rPr>
          <w:b/>
          <w:sz w:val="32"/>
        </w:rPr>
        <w:t>职业技能测试大纲</w:t>
      </w:r>
    </w:p>
    <w:p>
      <w:pPr>
        <w:pStyle w:val="2"/>
        <w:spacing w:line="360" w:lineRule="auto"/>
        <w:ind w:left="0" w:leftChars="0" w:right="3150" w:firstLine="0" w:firstLineChars="0"/>
        <w:jc w:val="center"/>
        <w:rPr>
          <w:rFonts w:hint="eastAsia" w:ascii="楷体" w:eastAsia="楷体"/>
        </w:rPr>
      </w:pPr>
      <w:r>
        <w:rPr>
          <w:rFonts w:hint="eastAsia" w:ascii="楷体" w:eastAsia="楷体"/>
          <w:lang w:val="en-US" w:eastAsia="zh-CN"/>
        </w:rPr>
        <w:t xml:space="preserve">                      </w:t>
      </w:r>
      <w:r>
        <w:rPr>
          <w:rFonts w:hint="eastAsia" w:ascii="楷体" w:eastAsia="楷体"/>
        </w:rPr>
        <w:t>（适用于中职毕业生）</w:t>
      </w:r>
    </w:p>
    <w:p>
      <w:pPr>
        <w:pStyle w:val="3"/>
        <w:spacing w:before="161" w:line="360" w:lineRule="auto"/>
        <w:ind w:left="220" w:right="218" w:firstLine="436"/>
        <w:jc w:val="both"/>
        <w:rPr>
          <w:rFonts w:hint="eastAsia" w:eastAsia="宋体"/>
          <w:spacing w:val="-7"/>
          <w:lang w:eastAsia="zh-CN"/>
        </w:rPr>
      </w:pPr>
      <w:r>
        <w:rPr>
          <w:spacing w:val="-3"/>
        </w:rPr>
        <w:t>包括专业能力测试和技术技能测试，专业能力测试以教育部发布的《中等职</w:t>
      </w:r>
      <w:r>
        <w:rPr>
          <w:spacing w:val="-8"/>
        </w:rPr>
        <w:t>业学校</w:t>
      </w:r>
      <w:r>
        <w:rPr>
          <w:rFonts w:hint="eastAsia"/>
          <w:spacing w:val="-8"/>
          <w:lang w:eastAsia="zh-CN"/>
        </w:rPr>
        <w:t>药剂</w:t>
      </w:r>
      <w:r>
        <w:rPr>
          <w:spacing w:val="-8"/>
        </w:rPr>
        <w:t>专业教学标准》的核心专业知识为基本依据，重点考察综合</w:t>
      </w:r>
      <w:r>
        <w:rPr>
          <w:spacing w:val="-12"/>
        </w:rPr>
        <w:t>专业能力；技术技能测试以教育部发布的《中等职业学校</w:t>
      </w:r>
      <w:r>
        <w:rPr>
          <w:rFonts w:hint="eastAsia"/>
          <w:spacing w:val="-12"/>
          <w:lang w:val="en-US" w:eastAsia="zh-CN"/>
        </w:rPr>
        <w:t>药剂</w:t>
      </w:r>
      <w:r>
        <w:rPr>
          <w:spacing w:val="-12"/>
        </w:rPr>
        <w:t>专业教学</w:t>
      </w:r>
      <w:r>
        <w:rPr>
          <w:spacing w:val="-11"/>
        </w:rPr>
        <w:t>标准》的核心技术技能为基本依据，充分体现岗位技能、通用技术等内容。</w:t>
      </w:r>
      <w:bookmarkStart w:id="0" w:name="_GoBack"/>
      <w:bookmarkEnd w:id="0"/>
      <w:r>
        <w:rPr>
          <w:spacing w:val="-7"/>
        </w:rPr>
        <w:t>职业技能</w:t>
      </w:r>
      <w:r>
        <w:rPr>
          <w:rFonts w:hint="eastAsia"/>
          <w:spacing w:val="-7"/>
          <w:lang w:val="en-US" w:eastAsia="zh-CN"/>
        </w:rPr>
        <w:t>测</w:t>
      </w:r>
      <w:r>
        <w:rPr>
          <w:spacing w:val="-7"/>
        </w:rPr>
        <w:t>试</w:t>
      </w:r>
      <w:r>
        <w:t>（</w:t>
      </w:r>
      <w:r>
        <w:rPr>
          <w:spacing w:val="-20"/>
        </w:rPr>
        <w:t xml:space="preserve">满分 </w:t>
      </w:r>
      <w:r>
        <w:rPr>
          <w:rFonts w:hint="eastAsia"/>
          <w:lang w:val="en-US" w:eastAsia="zh-CN"/>
        </w:rPr>
        <w:t>30</w:t>
      </w:r>
      <w:r>
        <w:t>0</w:t>
      </w:r>
      <w:r>
        <w:rPr>
          <w:spacing w:val="-30"/>
        </w:rPr>
        <w:t xml:space="preserve"> 分</w:t>
      </w:r>
      <w:r>
        <w:rPr>
          <w:spacing w:val="-20"/>
        </w:rPr>
        <w:t>）</w:t>
      </w:r>
      <w:r>
        <w:rPr>
          <w:spacing w:val="-3"/>
        </w:rPr>
        <w:t>包括专业</w:t>
      </w:r>
      <w:r>
        <w:rPr>
          <w:rFonts w:hint="eastAsia"/>
          <w:spacing w:val="-3"/>
          <w:lang w:val="en-US" w:eastAsia="zh-CN"/>
        </w:rPr>
        <w:t>能力测</w:t>
      </w:r>
      <w:r>
        <w:rPr>
          <w:spacing w:val="-3"/>
        </w:rPr>
        <w:t>试</w:t>
      </w:r>
      <w:r>
        <w:t>（</w:t>
      </w:r>
      <w:r>
        <w:rPr>
          <w:spacing w:val="-20"/>
        </w:rPr>
        <w:t xml:space="preserve">满分 </w:t>
      </w:r>
      <w:r>
        <w:rPr>
          <w:rFonts w:hint="eastAsia"/>
          <w:lang w:val="en-US" w:eastAsia="zh-CN"/>
        </w:rPr>
        <w:t>18</w:t>
      </w:r>
      <w:r>
        <w:t>0</w:t>
      </w:r>
      <w:r>
        <w:rPr>
          <w:spacing w:val="-30"/>
        </w:rPr>
        <w:t xml:space="preserve"> 分</w:t>
      </w:r>
      <w:r>
        <w:rPr>
          <w:spacing w:val="-20"/>
        </w:rPr>
        <w:t>）</w:t>
      </w:r>
      <w:r>
        <w:rPr>
          <w:spacing w:val="-4"/>
        </w:rPr>
        <w:t>和</w:t>
      </w:r>
      <w:r>
        <w:rPr>
          <w:rFonts w:hint="eastAsia"/>
          <w:spacing w:val="-4"/>
          <w:lang w:val="en-US" w:eastAsia="zh-CN"/>
        </w:rPr>
        <w:t>技术</w:t>
      </w:r>
      <w:r>
        <w:rPr>
          <w:spacing w:val="-4"/>
        </w:rPr>
        <w:t>技能测</w:t>
      </w:r>
      <w:r>
        <w:rPr>
          <w:sz w:val="24"/>
        </w:rPr>
        <w:t>试（</w:t>
      </w:r>
      <w:r>
        <w:rPr>
          <w:spacing w:val="-21"/>
          <w:sz w:val="24"/>
        </w:rPr>
        <w:t xml:space="preserve">满分 </w:t>
      </w:r>
      <w:r>
        <w:rPr>
          <w:rFonts w:hint="eastAsia"/>
          <w:sz w:val="24"/>
          <w:lang w:val="en-US" w:eastAsia="zh-CN"/>
        </w:rPr>
        <w:t>12</w:t>
      </w:r>
      <w:r>
        <w:rPr>
          <w:sz w:val="24"/>
        </w:rPr>
        <w:t>0</w:t>
      </w:r>
      <w:r>
        <w:rPr>
          <w:spacing w:val="-30"/>
          <w:sz w:val="24"/>
        </w:rPr>
        <w:t xml:space="preserve"> 分</w:t>
      </w:r>
      <w:r>
        <w:rPr>
          <w:sz w:val="24"/>
        </w:rPr>
        <w:t>）</w:t>
      </w:r>
      <w:r>
        <w:rPr>
          <w:spacing w:val="-16"/>
          <w:sz w:val="24"/>
        </w:rPr>
        <w:t>。</w:t>
      </w:r>
    </w:p>
    <w:p>
      <w:pPr>
        <w:spacing w:before="3" w:line="360" w:lineRule="auto"/>
        <w:ind w:right="5643" w:firstLine="482" w:firstLineChars="200"/>
        <w:jc w:val="both"/>
        <w:rPr>
          <w:b/>
          <w:sz w:val="24"/>
        </w:rPr>
      </w:pPr>
      <w:r>
        <w:rPr>
          <w:b/>
          <w:sz w:val="24"/>
        </w:rPr>
        <w:t>一、测试形式</w:t>
      </w:r>
    </w:p>
    <w:p>
      <w:pPr>
        <w:pStyle w:val="3"/>
        <w:ind w:left="557"/>
      </w:pPr>
      <w:r>
        <w:rPr>
          <w:spacing w:val="-7"/>
        </w:rPr>
        <w:t>职业技能</w:t>
      </w:r>
      <w:r>
        <w:rPr>
          <w:rFonts w:hint="eastAsia"/>
          <w:spacing w:val="-7"/>
          <w:lang w:val="en-US" w:eastAsia="zh-CN"/>
        </w:rPr>
        <w:t>测</w:t>
      </w:r>
      <w:r>
        <w:rPr>
          <w:spacing w:val="-7"/>
        </w:rPr>
        <w:t>试</w:t>
      </w:r>
      <w:r>
        <w:rPr>
          <w:spacing w:val="-18"/>
        </w:rPr>
        <w:t>：采用合卷网络在线方式测试</w:t>
      </w:r>
      <w:r>
        <w:t>（</w:t>
      </w:r>
      <w:r>
        <w:rPr>
          <w:spacing w:val="-10"/>
        </w:rPr>
        <w:t>题型均为选择题，满分</w:t>
      </w:r>
      <w:r>
        <w:rPr>
          <w:rFonts w:hint="eastAsia"/>
          <w:lang w:val="en-US" w:eastAsia="zh-CN"/>
        </w:rPr>
        <w:t>3</w:t>
      </w:r>
      <w:r>
        <w:t>00</w:t>
      </w:r>
      <w:r>
        <w:rPr>
          <w:spacing w:val="-44"/>
        </w:rPr>
        <w:t xml:space="preserve"> 分</w:t>
      </w:r>
      <w:r>
        <w:rPr>
          <w:spacing w:val="-120"/>
        </w:rPr>
        <w:t>）</w:t>
      </w:r>
      <w: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left="0" w:leftChars="0" w:firstLine="482" w:firstLineChars="200"/>
        <w:jc w:val="both"/>
        <w:textAlignment w:val="auto"/>
      </w:pPr>
      <w:r>
        <w:t>二、测试内容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right="0" w:firstLine="482" w:firstLineChars="200"/>
        <w:jc w:val="both"/>
        <w:textAlignment w:val="auto"/>
        <w:rPr>
          <w:b/>
          <w:sz w:val="24"/>
        </w:rPr>
      </w:pPr>
      <w:r>
        <w:rPr>
          <w:b/>
          <w:sz w:val="24"/>
        </w:rPr>
        <w:t>（一）专业能力（</w:t>
      </w:r>
      <w:r>
        <w:rPr>
          <w:rFonts w:hint="eastAsia"/>
          <w:b/>
          <w:sz w:val="24"/>
          <w:lang w:val="en-US" w:eastAsia="zh-CN"/>
        </w:rPr>
        <w:t>18</w:t>
      </w:r>
      <w:r>
        <w:rPr>
          <w:b/>
          <w:sz w:val="24"/>
        </w:rPr>
        <w:t>0 分）</w:t>
      </w:r>
    </w:p>
    <w:tbl>
      <w:tblPr>
        <w:tblStyle w:val="5"/>
        <w:tblW w:w="4731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1"/>
        <w:gridCol w:w="80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50" w:after="0" w:afterLines="50" w:line="240" w:lineRule="auto"/>
              <w:ind w:right="0"/>
              <w:jc w:val="left"/>
              <w:textAlignment w:val="auto"/>
              <w:rPr>
                <w:rFonts w:hint="eastAsia"/>
                <w:b/>
                <w:sz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sz w:val="24"/>
                <w:vertAlign w:val="baseline"/>
                <w:lang w:val="en-US" w:eastAsia="zh-CN"/>
              </w:rPr>
              <w:t>专业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50" w:after="0" w:afterLines="50" w:line="240" w:lineRule="auto"/>
              <w:ind w:right="0"/>
              <w:jc w:val="left"/>
              <w:textAlignment w:val="auto"/>
              <w:rPr>
                <w:rFonts w:hint="default" w:eastAsia="宋体"/>
                <w:b/>
                <w:sz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sz w:val="24"/>
                <w:vertAlign w:val="baseline"/>
                <w:lang w:val="en-US" w:eastAsia="zh-CN"/>
              </w:rPr>
              <w:t>知识</w:t>
            </w:r>
          </w:p>
        </w:tc>
        <w:tc>
          <w:tcPr>
            <w:tcW w:w="4545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50" w:after="0" w:afterLines="50" w:line="240" w:lineRule="auto"/>
              <w:ind w:right="0"/>
              <w:jc w:val="center"/>
              <w:textAlignment w:val="auto"/>
              <w:rPr>
                <w:rFonts w:hint="default" w:eastAsia="宋体"/>
                <w:b/>
                <w:sz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sz w:val="24"/>
                <w:vertAlign w:val="baseline"/>
                <w:lang w:val="en-US" w:eastAsia="zh-CN"/>
              </w:rPr>
              <w:t>核心知识内容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80" w:lineRule="exact"/>
              <w:ind w:right="0"/>
              <w:jc w:val="center"/>
              <w:textAlignment w:val="auto"/>
              <w:rPr>
                <w:rFonts w:hint="eastAsia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vertAlign w:val="baseline"/>
                <w:lang w:val="en-US" w:eastAsia="zh-CN"/>
              </w:rPr>
              <w:t>药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80" w:lineRule="exact"/>
              <w:ind w:right="0"/>
              <w:jc w:val="center"/>
              <w:textAlignment w:val="auto"/>
              <w:rPr>
                <w:rFonts w:hint="eastAsia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vertAlign w:val="baseline"/>
                <w:lang w:val="en-US" w:eastAsia="zh-CN"/>
              </w:rPr>
              <w:t>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80" w:lineRule="exact"/>
              <w:ind w:right="0"/>
              <w:jc w:val="center"/>
              <w:textAlignment w:val="auto"/>
              <w:rPr>
                <w:rFonts w:hint="default"/>
                <w:b/>
                <w:sz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vertAlign w:val="baseline"/>
                <w:lang w:val="en-US" w:eastAsia="zh-CN"/>
              </w:rPr>
              <w:t>学</w:t>
            </w:r>
          </w:p>
        </w:tc>
        <w:tc>
          <w:tcPr>
            <w:tcW w:w="4545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80" w:lineRule="exact"/>
              <w:ind w:right="0" w:rightChars="0"/>
              <w:jc w:val="both"/>
              <w:textAlignment w:val="auto"/>
              <w:rPr>
                <w:rFonts w:hint="eastAsia"/>
                <w:spacing w:val="-3"/>
                <w:sz w:val="24"/>
                <w:lang w:val="en-US" w:eastAsia="zh-CN"/>
              </w:rPr>
            </w:pPr>
            <w:r>
              <w:rPr>
                <w:rFonts w:hint="eastAsia"/>
                <w:spacing w:val="-3"/>
                <w:sz w:val="24"/>
                <w:lang w:val="en-US" w:eastAsia="zh-CN"/>
              </w:rPr>
              <w:t>1.掌握药效学和药动学基本理论、基本概念及其临床意义；传出神经系统、中枢神经系统、激素、内分泌系统、心血管系统、消化系统、抗生素、化学合成抗微生物药各类代表药物体内过程的特点、药理作用、临床应用、不良反应、注意事项以及药物的合理应用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80" w:lineRule="exact"/>
              <w:ind w:right="0" w:rightChars="0"/>
              <w:jc w:val="both"/>
              <w:textAlignment w:val="auto"/>
              <w:rPr>
                <w:rFonts w:hint="eastAsia"/>
                <w:spacing w:val="-3"/>
                <w:sz w:val="24"/>
                <w:lang w:val="en-US" w:eastAsia="zh-CN"/>
              </w:rPr>
            </w:pPr>
            <w:r>
              <w:rPr>
                <w:rFonts w:hint="eastAsia"/>
                <w:spacing w:val="-3"/>
                <w:sz w:val="24"/>
                <w:lang w:val="en-US" w:eastAsia="zh-CN"/>
              </w:rPr>
              <w:t>2.熟悉抗过敏药、解毒药各类代表药物的药理作用、临床应用、不良反应、注意事项。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80" w:lineRule="exact"/>
              <w:ind w:right="0" w:rightChars="0"/>
              <w:jc w:val="both"/>
              <w:textAlignment w:val="auto"/>
              <w:rPr>
                <w:rFonts w:hint="default"/>
                <w:spacing w:val="-3"/>
                <w:sz w:val="24"/>
                <w:lang w:val="en-US" w:eastAsia="zh-CN"/>
              </w:rPr>
            </w:pPr>
            <w:r>
              <w:rPr>
                <w:rFonts w:hint="eastAsia"/>
                <w:spacing w:val="-3"/>
                <w:sz w:val="24"/>
                <w:lang w:val="en-US" w:eastAsia="zh-CN"/>
              </w:rPr>
              <w:t>3.了解抗肿瘤、免疫调节剂、局麻药和全麻药、抗寄生虫药的临床应用、不良反应、注意事项。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80" w:lineRule="exact"/>
              <w:ind w:right="0"/>
              <w:jc w:val="center"/>
              <w:textAlignment w:val="auto"/>
              <w:rPr>
                <w:rFonts w:hint="eastAsia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vertAlign w:val="baseline"/>
                <w:lang w:val="en-US" w:eastAsia="zh-CN"/>
              </w:rPr>
              <w:t>药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80" w:lineRule="exact"/>
              <w:ind w:right="0"/>
              <w:jc w:val="center"/>
              <w:textAlignment w:val="auto"/>
              <w:rPr>
                <w:rFonts w:hint="eastAsia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vertAlign w:val="baseline"/>
                <w:lang w:val="en-US" w:eastAsia="zh-CN"/>
              </w:rPr>
              <w:t>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80" w:lineRule="exact"/>
              <w:ind w:right="0"/>
              <w:jc w:val="center"/>
              <w:textAlignment w:val="auto"/>
              <w:rPr>
                <w:rFonts w:hint="default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vertAlign w:val="baseline"/>
                <w:lang w:val="en-US" w:eastAsia="zh-CN"/>
              </w:rPr>
              <w:t>学</w:t>
            </w:r>
          </w:p>
        </w:tc>
        <w:tc>
          <w:tcPr>
            <w:tcW w:w="4545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80" w:lineRule="exact"/>
              <w:ind w:right="0"/>
              <w:jc w:val="both"/>
              <w:textAlignment w:val="auto"/>
              <w:rPr>
                <w:rFonts w:hint="eastAsia"/>
                <w:spacing w:val="-3"/>
                <w:sz w:val="24"/>
                <w:lang w:val="en-US" w:eastAsia="zh-CN"/>
              </w:rPr>
            </w:pPr>
            <w:r>
              <w:rPr>
                <w:rFonts w:hint="eastAsia"/>
                <w:spacing w:val="-3"/>
                <w:sz w:val="24"/>
                <w:lang w:val="en-US" w:eastAsia="zh-CN"/>
              </w:rPr>
              <w:t>1.掌握药物制剂的基本理论；各种剂型的概念、特点、分类、质量要求；常用剂型的制备方法与工艺、质量检查。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80" w:lineRule="exact"/>
              <w:ind w:right="0"/>
              <w:jc w:val="both"/>
              <w:textAlignment w:val="auto"/>
              <w:rPr>
                <w:rFonts w:hint="eastAsia"/>
                <w:spacing w:val="-3"/>
                <w:sz w:val="24"/>
                <w:lang w:val="en-US" w:eastAsia="zh-CN"/>
              </w:rPr>
            </w:pPr>
            <w:r>
              <w:rPr>
                <w:rFonts w:hint="eastAsia"/>
                <w:spacing w:val="-3"/>
                <w:sz w:val="24"/>
                <w:lang w:val="en-US" w:eastAsia="zh-CN"/>
              </w:rPr>
              <w:t>2.熟悉辅料的性质与作用；常用制药设备工作原理、维护保养；包装与储存要求。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80" w:lineRule="exact"/>
              <w:ind w:right="0"/>
              <w:jc w:val="both"/>
              <w:textAlignment w:val="auto"/>
              <w:rPr>
                <w:rFonts w:hint="default"/>
                <w:spacing w:val="-3"/>
                <w:sz w:val="24"/>
                <w:lang w:val="en-US" w:eastAsia="zh-CN"/>
              </w:rPr>
            </w:pPr>
            <w:r>
              <w:rPr>
                <w:rFonts w:hint="eastAsia"/>
                <w:spacing w:val="-3"/>
                <w:sz w:val="24"/>
                <w:lang w:val="en-US" w:eastAsia="zh-CN"/>
              </w:rPr>
              <w:t>3.了解药物制剂的新技术与新剂型；生物药剂学与药动学基础知识。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80" w:lineRule="exact"/>
              <w:ind w:right="0"/>
              <w:jc w:val="center"/>
              <w:textAlignment w:val="auto"/>
              <w:rPr>
                <w:rFonts w:hint="eastAsia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vertAlign w:val="baseline"/>
                <w:lang w:val="en-US" w:eastAsia="zh-CN"/>
              </w:rPr>
              <w:t>药事管理与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80" w:lineRule="exact"/>
              <w:ind w:right="0"/>
              <w:jc w:val="center"/>
              <w:textAlignment w:val="auto"/>
              <w:rPr>
                <w:rFonts w:hint="default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vertAlign w:val="baseline"/>
                <w:lang w:val="en-US" w:eastAsia="zh-CN"/>
              </w:rPr>
              <w:t>法规</w:t>
            </w:r>
          </w:p>
        </w:tc>
        <w:tc>
          <w:tcPr>
            <w:tcW w:w="4545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80" w:lineRule="exact"/>
              <w:ind w:right="0"/>
              <w:jc w:val="both"/>
              <w:textAlignment w:val="auto"/>
              <w:rPr>
                <w:rFonts w:hint="eastAsia"/>
                <w:spacing w:val="-3"/>
                <w:sz w:val="24"/>
                <w:lang w:val="en-US" w:eastAsia="zh-CN"/>
              </w:rPr>
            </w:pPr>
            <w:r>
              <w:rPr>
                <w:rFonts w:hint="eastAsia"/>
                <w:spacing w:val="-3"/>
                <w:sz w:val="24"/>
                <w:lang w:val="en-US" w:eastAsia="zh-CN"/>
              </w:rPr>
              <w:t>1.掌握药品管理法及药品相关法规，药品管理的体制及机构；特殊药品的管理；处方调配；药品生产、经营、信息管理、价格管理、医疗机构药品管理等方面的监督管理要点与方法。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80" w:lineRule="exact"/>
              <w:ind w:right="0"/>
              <w:jc w:val="both"/>
              <w:textAlignment w:val="auto"/>
              <w:rPr>
                <w:rFonts w:hint="eastAsia"/>
                <w:spacing w:val="-3"/>
                <w:sz w:val="24"/>
                <w:lang w:val="en-US" w:eastAsia="zh-CN"/>
              </w:rPr>
            </w:pPr>
            <w:r>
              <w:rPr>
                <w:rFonts w:hint="eastAsia"/>
                <w:spacing w:val="-3"/>
                <w:sz w:val="24"/>
                <w:lang w:val="en-US" w:eastAsia="zh-CN"/>
              </w:rPr>
              <w:t>2.熟悉执业药师管理及药师职业道德与行为准则；药品质量监督管理的基本知识。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80" w:lineRule="exact"/>
              <w:ind w:right="0"/>
              <w:jc w:val="both"/>
              <w:textAlignment w:val="auto"/>
              <w:rPr>
                <w:rFonts w:hint="default"/>
                <w:spacing w:val="-3"/>
                <w:sz w:val="24"/>
                <w:lang w:val="en-US" w:eastAsia="zh-CN"/>
              </w:rPr>
            </w:pPr>
            <w:r>
              <w:rPr>
                <w:rFonts w:hint="eastAsia"/>
                <w:spacing w:val="-3"/>
                <w:sz w:val="24"/>
                <w:lang w:val="en-US" w:eastAsia="zh-CN"/>
              </w:rPr>
              <w:t>3.了解药品研发的基本知识。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right="0" w:firstLine="482" w:firstLineChars="200"/>
        <w:jc w:val="both"/>
        <w:textAlignment w:val="auto"/>
        <w:rPr>
          <w:b/>
          <w:sz w:val="24"/>
        </w:rPr>
      </w:pPr>
      <w:r>
        <w:rPr>
          <w:b/>
          <w:sz w:val="24"/>
        </w:rPr>
        <w:t>（二）</w:t>
      </w:r>
      <w:r>
        <w:rPr>
          <w:rFonts w:hint="eastAsia"/>
          <w:b/>
          <w:sz w:val="24"/>
          <w:lang w:val="en-US" w:eastAsia="zh-CN"/>
        </w:rPr>
        <w:t>技术</w:t>
      </w:r>
      <w:r>
        <w:rPr>
          <w:b/>
          <w:sz w:val="24"/>
        </w:rPr>
        <w:t>技能（</w:t>
      </w:r>
      <w:r>
        <w:rPr>
          <w:rFonts w:hint="eastAsia"/>
          <w:b/>
          <w:sz w:val="24"/>
          <w:lang w:val="en-US" w:eastAsia="zh-CN"/>
        </w:rPr>
        <w:t>12</w:t>
      </w:r>
      <w:r>
        <w:rPr>
          <w:b/>
          <w:sz w:val="24"/>
        </w:rPr>
        <w:t>0 分）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8"/>
        <w:gridCol w:w="56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50" w:after="0" w:afterLines="50" w:line="240" w:lineRule="auto"/>
              <w:ind w:right="0"/>
              <w:jc w:val="center"/>
              <w:textAlignment w:val="auto"/>
              <w:rPr>
                <w:rFonts w:hint="default" w:eastAsia="宋体"/>
                <w:b/>
                <w:sz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sz w:val="24"/>
                <w:vertAlign w:val="baseline"/>
                <w:lang w:val="en-US" w:eastAsia="zh-CN"/>
              </w:rPr>
              <w:t>专业技能</w:t>
            </w:r>
          </w:p>
        </w:tc>
        <w:tc>
          <w:tcPr>
            <w:tcW w:w="56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50" w:after="0" w:afterLines="50" w:line="240" w:lineRule="auto"/>
              <w:ind w:right="0"/>
              <w:jc w:val="center"/>
              <w:textAlignment w:val="auto"/>
              <w:rPr>
                <w:rFonts w:hint="default" w:eastAsia="宋体"/>
                <w:b/>
                <w:sz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sz w:val="24"/>
                <w:vertAlign w:val="baseline"/>
                <w:lang w:val="en-US" w:eastAsia="zh-CN"/>
              </w:rPr>
              <w:t>核心技能内容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80" w:lineRule="exact"/>
              <w:ind w:right="0"/>
              <w:jc w:val="left"/>
              <w:textAlignment w:val="auto"/>
              <w:rPr>
                <w:rFonts w:hint="default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设备使用</w:t>
            </w:r>
          </w:p>
        </w:tc>
        <w:tc>
          <w:tcPr>
            <w:tcW w:w="56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80" w:lineRule="exact"/>
              <w:ind w:right="0"/>
              <w:jc w:val="left"/>
              <w:textAlignment w:val="auto"/>
              <w:rPr>
                <w:rFonts w:hint="default" w:eastAsia="宋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vertAlign w:val="baseline"/>
                <w:lang w:val="en-US" w:eastAsia="zh-CN"/>
              </w:rPr>
              <w:t>单冲压片机的使用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1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80" w:lineRule="exact"/>
              <w:ind w:right="0"/>
              <w:jc w:val="left"/>
              <w:textAlignment w:val="auto"/>
              <w:rPr>
                <w:rFonts w:hint="default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药品调剂</w:t>
            </w:r>
          </w:p>
        </w:tc>
        <w:tc>
          <w:tcPr>
            <w:tcW w:w="56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80" w:lineRule="exact"/>
              <w:ind w:right="0"/>
              <w:jc w:val="left"/>
              <w:textAlignment w:val="auto"/>
              <w:rPr>
                <w:rFonts w:hint="eastAsia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vertAlign w:val="baseline"/>
                <w:lang w:val="en-US" w:eastAsia="zh-CN"/>
              </w:rPr>
              <w:t>处方审核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1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80" w:lineRule="exact"/>
              <w:ind w:right="0"/>
              <w:jc w:val="left"/>
              <w:textAlignment w:val="auto"/>
              <w:rPr>
                <w:rFonts w:hint="eastAsia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6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80" w:lineRule="exact"/>
              <w:ind w:right="0"/>
              <w:jc w:val="left"/>
              <w:textAlignment w:val="auto"/>
              <w:rPr>
                <w:rFonts w:hint="default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vertAlign w:val="baseline"/>
                <w:lang w:val="en-US" w:eastAsia="zh-CN"/>
              </w:rPr>
              <w:t>四查十对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1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80" w:lineRule="exact"/>
              <w:ind w:right="0"/>
              <w:jc w:val="left"/>
              <w:textAlignment w:val="auto"/>
              <w:rPr>
                <w:rFonts w:hint="eastAsia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6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80" w:lineRule="exact"/>
              <w:ind w:right="0"/>
              <w:jc w:val="left"/>
              <w:textAlignment w:val="auto"/>
              <w:rPr>
                <w:rFonts w:hint="default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vertAlign w:val="baseline"/>
                <w:lang w:val="en-US" w:eastAsia="zh-CN"/>
              </w:rPr>
              <w:t>用药指导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1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80" w:lineRule="exact"/>
              <w:ind w:right="0"/>
              <w:jc w:val="left"/>
              <w:textAlignment w:val="auto"/>
              <w:rPr>
                <w:rFonts w:hint="default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常用剂型的制备与质量检查</w:t>
            </w:r>
          </w:p>
        </w:tc>
        <w:tc>
          <w:tcPr>
            <w:tcW w:w="56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80" w:lineRule="exact"/>
              <w:ind w:right="0"/>
              <w:jc w:val="left"/>
              <w:textAlignment w:val="auto"/>
              <w:rPr>
                <w:rFonts w:hint="default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vertAlign w:val="baseline"/>
                <w:lang w:val="en-US" w:eastAsia="zh-CN"/>
              </w:rPr>
              <w:t>片剂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1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80" w:lineRule="exact"/>
              <w:ind w:right="0"/>
              <w:jc w:val="left"/>
              <w:textAlignment w:val="auto"/>
              <w:rPr>
                <w:rFonts w:hint="eastAsia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6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80" w:lineRule="exact"/>
              <w:ind w:right="0"/>
              <w:jc w:val="left"/>
              <w:textAlignment w:val="auto"/>
              <w:rPr>
                <w:rFonts w:hint="default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vertAlign w:val="baseline"/>
                <w:lang w:val="en-US" w:eastAsia="zh-CN"/>
              </w:rPr>
              <w:t>颗粒剂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1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80" w:lineRule="exact"/>
              <w:ind w:right="0"/>
              <w:jc w:val="left"/>
              <w:textAlignment w:val="auto"/>
              <w:rPr>
                <w:rFonts w:hint="eastAsia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6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80" w:lineRule="exact"/>
              <w:ind w:right="0"/>
              <w:jc w:val="left"/>
              <w:textAlignment w:val="auto"/>
              <w:rPr>
                <w:rFonts w:hint="default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vertAlign w:val="baseline"/>
                <w:lang w:val="en-US" w:eastAsia="zh-CN"/>
              </w:rPr>
              <w:t>胶囊剂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1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80" w:lineRule="exact"/>
              <w:ind w:right="0"/>
              <w:jc w:val="left"/>
              <w:textAlignment w:val="auto"/>
              <w:rPr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药品储存与保管</w:t>
            </w:r>
          </w:p>
        </w:tc>
        <w:tc>
          <w:tcPr>
            <w:tcW w:w="56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80" w:lineRule="exact"/>
              <w:ind w:right="0"/>
              <w:jc w:val="left"/>
              <w:textAlignment w:val="auto"/>
              <w:rPr>
                <w:rFonts w:hint="default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vertAlign w:val="baseline"/>
                <w:lang w:val="en-US" w:eastAsia="zh-CN"/>
              </w:rPr>
              <w:t>药品分类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1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80" w:lineRule="exact"/>
              <w:ind w:right="0"/>
              <w:jc w:val="left"/>
              <w:textAlignment w:val="auto"/>
              <w:rPr>
                <w:b w:val="0"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56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80" w:lineRule="exact"/>
              <w:ind w:right="0"/>
              <w:jc w:val="left"/>
              <w:textAlignment w:val="auto"/>
              <w:rPr>
                <w:rFonts w:hint="default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vertAlign w:val="baseline"/>
                <w:lang w:val="en-US" w:eastAsia="zh-CN"/>
              </w:rPr>
              <w:t>色标管理、储存条件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1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80" w:lineRule="exact"/>
              <w:ind w:right="0"/>
              <w:jc w:val="left"/>
              <w:textAlignment w:val="auto"/>
              <w:rPr>
                <w:b w:val="0"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56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80" w:lineRule="exact"/>
              <w:ind w:right="0"/>
              <w:jc w:val="left"/>
              <w:textAlignment w:val="auto"/>
              <w:rPr>
                <w:rFonts w:hint="default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vertAlign w:val="baseline"/>
                <w:lang w:val="en-US" w:eastAsia="zh-CN"/>
              </w:rPr>
              <w:t>特殊药品管理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80" w:lineRule="exact"/>
              <w:ind w:right="0"/>
              <w:jc w:val="left"/>
              <w:textAlignment w:val="auto"/>
              <w:rPr>
                <w:rFonts w:hint="default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药品质量标准查阅</w:t>
            </w:r>
          </w:p>
        </w:tc>
        <w:tc>
          <w:tcPr>
            <w:tcW w:w="56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80" w:lineRule="exact"/>
              <w:ind w:right="0"/>
              <w:jc w:val="left"/>
              <w:textAlignment w:val="auto"/>
              <w:rPr>
                <w:rFonts w:hint="default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vertAlign w:val="baseline"/>
                <w:lang w:val="en-US" w:eastAsia="zh-CN"/>
              </w:rPr>
              <w:t>《中国药典》（2020年版）</w:t>
            </w:r>
          </w:p>
        </w:tc>
      </w:tr>
    </w:tbl>
    <w:p>
      <w:pPr>
        <w:pStyle w:val="3"/>
        <w:spacing w:before="4"/>
        <w:rPr>
          <w:b/>
          <w:sz w:val="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Lines="50" w:line="360" w:lineRule="auto"/>
        <w:ind w:right="0" w:firstLine="482" w:firstLineChars="200"/>
        <w:jc w:val="both"/>
        <w:textAlignment w:val="auto"/>
        <w:rPr>
          <w:b/>
          <w:sz w:val="24"/>
        </w:rPr>
      </w:pPr>
      <w:r>
        <w:rPr>
          <w:b/>
          <w:sz w:val="24"/>
        </w:rPr>
        <w:t>三、参考资料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Lines="50" w:line="364" w:lineRule="auto"/>
        <w:ind w:right="459" w:firstLine="448" w:firstLineChars="200"/>
        <w:jc w:val="both"/>
        <w:textAlignment w:val="auto"/>
      </w:pPr>
      <w:r>
        <w:rPr>
          <w:spacing w:val="-8"/>
        </w:rPr>
        <w:t>本测试无指定参考教材，可参考中职教材《</w:t>
      </w:r>
      <w:r>
        <w:rPr>
          <w:rFonts w:hint="eastAsia"/>
          <w:spacing w:val="-8"/>
          <w:lang w:val="en-US" w:eastAsia="zh-CN"/>
        </w:rPr>
        <w:t>药理学</w:t>
      </w:r>
      <w:r>
        <w:rPr>
          <w:spacing w:val="-8"/>
        </w:rPr>
        <w:t>》《</w:t>
      </w:r>
      <w:r>
        <w:rPr>
          <w:rFonts w:hint="eastAsia"/>
          <w:spacing w:val="-8"/>
          <w:lang w:val="en-US" w:eastAsia="zh-CN"/>
        </w:rPr>
        <w:t>药剂学</w:t>
      </w:r>
      <w:r>
        <w:rPr>
          <w:spacing w:val="-21"/>
        </w:rPr>
        <w:t>》《</w:t>
      </w:r>
      <w:r>
        <w:rPr>
          <w:rFonts w:hint="eastAsia"/>
          <w:spacing w:val="-21"/>
          <w:lang w:val="en-US" w:eastAsia="zh-CN"/>
        </w:rPr>
        <w:t>药事管理与法规</w:t>
      </w:r>
      <w:r>
        <w:rPr>
          <w:spacing w:val="-21"/>
        </w:rPr>
        <w:t>》</w:t>
      </w:r>
      <w:r>
        <w:rPr>
          <w:rFonts w:hint="eastAsia"/>
          <w:spacing w:val="-21"/>
          <w:lang w:val="en-US" w:eastAsia="zh-CN"/>
        </w:rPr>
        <w:t>等相关教材</w:t>
      </w:r>
      <w:r>
        <w:rPr>
          <w:spacing w:val="-21"/>
        </w:rPr>
        <w:t>。</w:t>
      </w:r>
    </w:p>
    <w:sectPr>
      <w:footerReference r:id="rId5" w:type="default"/>
      <w:pgSz w:w="11910" w:h="16840"/>
      <w:pgMar w:top="1420" w:right="1340" w:bottom="1380" w:left="1460" w:header="0" w:footer="1195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before="0" w:line="14" w:lineRule="auto"/>
      <w:rPr>
        <w:sz w:val="20"/>
      </w:rPr>
    </w:pPr>
    <w:r>
      <w:pict>
        <v:shape id="_x0000_s4097" o:spid="_x0000_s4097" o:spt="202" type="#_x0000_t202" style="position:absolute;left:0pt;margin-left:293.35pt;margin-top:771.15pt;height:11pt;width:8.6pt;mso-position-horizontal-relative:page;mso-position-vertical-relative:page;z-index:-251657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0" w:line="203" w:lineRule="exact"/>
                  <w:ind w:left="40" w:right="0" w:firstLine="0"/>
                  <w:jc w:val="left"/>
                  <w:rPr>
                    <w:rFonts w:ascii="Calibri"/>
                    <w:sz w:val="18"/>
                  </w:rPr>
                </w:pPr>
                <w:r>
                  <w:fldChar w:fldCharType="begin"/>
                </w:r>
                <w:r>
                  <w:rPr>
                    <w:rFonts w:ascii="Calibri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000000"/>
    <w:rsid w:val="0A8034A8"/>
    <w:rsid w:val="105D5087"/>
    <w:rsid w:val="1FA0219D"/>
    <w:rsid w:val="1FB21F45"/>
    <w:rsid w:val="38617612"/>
    <w:rsid w:val="556233C2"/>
    <w:rsid w:val="56306A8D"/>
    <w:rsid w:val="5D7323B3"/>
    <w:rsid w:val="5DB14DEE"/>
    <w:rsid w:val="6682496B"/>
    <w:rsid w:val="6ECE7087"/>
    <w:rsid w:val="74CF56A3"/>
    <w:rsid w:val="7AC758F2"/>
    <w:rsid w:val="7D8203D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ind w:left="779"/>
      <w:outlineLvl w:val="1"/>
    </w:pPr>
    <w:rPr>
      <w:rFonts w:ascii="宋体" w:hAnsi="宋体" w:eastAsia="宋体" w:cs="宋体"/>
      <w:b/>
      <w:bCs/>
      <w:sz w:val="24"/>
      <w:szCs w:val="24"/>
      <w:lang w:val="zh-CN" w:eastAsia="zh-CN" w:bidi="zh-CN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spacing w:before="160"/>
    </w:pPr>
    <w:rPr>
      <w:rFonts w:ascii="宋体" w:hAnsi="宋体" w:eastAsia="宋体" w:cs="宋体"/>
      <w:sz w:val="24"/>
      <w:szCs w:val="24"/>
      <w:lang w:val="zh-CN" w:eastAsia="zh-CN" w:bidi="zh-CN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7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  <w:rPr>
      <w:lang w:val="zh-CN" w:eastAsia="zh-CN" w:bidi="zh-CN"/>
    </w:rPr>
  </w:style>
  <w:style w:type="paragraph" w:customStyle="1" w:styleId="9">
    <w:name w:val="Table Paragraph"/>
    <w:basedOn w:val="1"/>
    <w:qFormat/>
    <w:uiPriority w:val="1"/>
    <w:pPr>
      <w:ind w:left="107"/>
    </w:pPr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ScaleCrop>false</ScaleCrop>
  <LinksUpToDate>false</LinksUpToDate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2022-03-09T09:11:00Z</dcterms:created>
  <dc:creator>hp</dc:creator>
  <cp:lastModifiedBy>mch6166</cp:lastModifiedBy>
  <dcterms:modified xsi:type="dcterms:W3CDTF">2022-03-15T00:14:34Z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2022-03-09T00:00:00Z</vt:filetime>
  </property>
  <property fmtid="{D5CDD505-2E9C-101B-9397-08002B2CF9AE}" pid="5" name="KSOProductBuildVer">
    <vt:lpwstr>2052-11.1.0.11365</vt:lpwstr>
  </property>
  <property fmtid="{D5CDD505-2E9C-101B-9397-08002B2CF9AE}" pid="6" name="ICV">
    <vt:lpwstr>A56C3DA838B34379972786F8823F52D3</vt:lpwstr>
  </property>
</Properties>
</file>