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 w:eastAsia="宋体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药品经营与管理</w:t>
      </w:r>
      <w:r>
        <w:rPr>
          <w:b/>
          <w:color w:val="FF0000"/>
          <w:sz w:val="32"/>
        </w:rPr>
        <w:t>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ind w:left="3509" w:right="315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4" w:lineRule="auto"/>
        <w:ind w:left="220" w:right="218" w:firstLine="436"/>
        <w:jc w:val="both"/>
        <w:rPr>
          <w:rFonts w:hint="eastAsia" w:eastAsia="宋体"/>
          <w:spacing w:val="-7"/>
          <w:lang w:eastAsia="zh-CN"/>
        </w:rPr>
      </w:pPr>
      <w:r>
        <w:rPr>
          <w:spacing w:val="-3"/>
        </w:rPr>
        <w:t>包括专业能力测试和技术技能测试，专业能力测试</w:t>
      </w:r>
      <w:r>
        <w:rPr>
          <w:rFonts w:hint="eastAsia"/>
          <w:spacing w:val="-3"/>
          <w:lang w:eastAsia="zh-CN"/>
        </w:rPr>
        <w:t>参照</w:t>
      </w:r>
      <w:r>
        <w:rPr>
          <w:spacing w:val="-3"/>
        </w:rPr>
        <w:t>教育部发布的《</w:t>
      </w:r>
      <w:r>
        <w:rPr>
          <w:rFonts w:hint="eastAsia"/>
          <w:spacing w:val="-3"/>
          <w:lang w:eastAsia="zh-CN"/>
        </w:rPr>
        <w:t>高</w:t>
      </w:r>
      <w:r>
        <w:rPr>
          <w:spacing w:val="-3"/>
        </w:rPr>
        <w:t>等职</w:t>
      </w:r>
      <w:r>
        <w:rPr>
          <w:spacing w:val="-8"/>
        </w:rPr>
        <w:t>业学校</w:t>
      </w:r>
      <w:r>
        <w:rPr>
          <w:rFonts w:hint="eastAsia"/>
          <w:spacing w:val="-8"/>
          <w:lang w:val="en-US" w:eastAsia="zh-CN"/>
        </w:rPr>
        <w:t>药品经营与管理</w:t>
      </w:r>
      <w:r>
        <w:rPr>
          <w:spacing w:val="-8"/>
        </w:rPr>
        <w:t>专业教学标准》的核心专业知识为基本依据，重点考察综合</w:t>
      </w:r>
      <w:r>
        <w:rPr>
          <w:spacing w:val="-12"/>
        </w:rPr>
        <w:t>专业能力；技术技能测试</w:t>
      </w:r>
      <w:r>
        <w:rPr>
          <w:rFonts w:hint="eastAsia"/>
          <w:spacing w:val="-12"/>
          <w:lang w:eastAsia="zh-CN"/>
        </w:rPr>
        <w:t>参照</w:t>
      </w:r>
      <w:r>
        <w:rPr>
          <w:spacing w:val="-12"/>
        </w:rPr>
        <w:t>教育部发布的《</w:t>
      </w:r>
      <w:r>
        <w:rPr>
          <w:rFonts w:hint="eastAsia"/>
          <w:spacing w:val="-12"/>
          <w:lang w:eastAsia="zh-CN"/>
        </w:rPr>
        <w:t>高</w:t>
      </w:r>
      <w:r>
        <w:rPr>
          <w:spacing w:val="-12"/>
        </w:rPr>
        <w:t>等职业学校</w:t>
      </w:r>
      <w:r>
        <w:rPr>
          <w:rFonts w:hint="eastAsia"/>
          <w:spacing w:val="-12"/>
          <w:lang w:val="en-US" w:eastAsia="zh-CN"/>
        </w:rPr>
        <w:t>药品经营与管理</w:t>
      </w:r>
      <w:r>
        <w:rPr>
          <w:spacing w:val="-12"/>
        </w:rPr>
        <w:t>专业教学</w:t>
      </w:r>
      <w:r>
        <w:rPr>
          <w:spacing w:val="-11"/>
        </w:rPr>
        <w:t>标准》的核心技术技能为基本依据，充分体现岗位技能、通用技术等内容。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spacing w:before="3" w:line="364" w:lineRule="auto"/>
        <w:ind w:left="752" w:leftChars="342" w:right="5643" w:firstLine="0" w:firstLineChars="0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ind w:left="557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3"/>
        <w:spacing w:line="364" w:lineRule="auto"/>
        <w:ind w:right="1606"/>
      </w:pPr>
    </w:p>
    <w:p>
      <w:pPr>
        <w:pStyle w:val="2"/>
        <w:spacing w:before="2"/>
      </w:pPr>
      <w:r>
        <w:t>二、测试内容</w:t>
      </w:r>
    </w:p>
    <w:p>
      <w:pPr>
        <w:spacing w:before="16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7" w:type="dxa"/>
          </w:tcPr>
          <w:p>
            <w:pPr>
              <w:pStyle w:val="9"/>
              <w:spacing w:before="7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9"/>
              <w:spacing w:before="16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843" w:type="dxa"/>
          </w:tcPr>
          <w:p>
            <w:pPr>
              <w:pStyle w:val="9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9"/>
              <w:ind w:left="341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7" w:type="dxa"/>
          </w:tcPr>
          <w:p>
            <w:pPr>
              <w:pStyle w:val="9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before="1" w:line="240" w:lineRule="auto"/>
              <w:ind w:left="218" w:right="206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医药商品</w:t>
            </w:r>
          </w:p>
          <w:p>
            <w:pPr>
              <w:pStyle w:val="9"/>
              <w:spacing w:before="1" w:line="240" w:lineRule="auto"/>
              <w:ind w:left="218" w:right="206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7843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掌握</w:t>
            </w:r>
            <w:r>
              <w:rPr>
                <w:rFonts w:hint="eastAsia"/>
                <w:sz w:val="24"/>
                <w:szCs w:val="24"/>
              </w:rPr>
              <w:t>西药商品的分类原则</w:t>
            </w:r>
            <w:r>
              <w:rPr>
                <w:rFonts w:hint="eastAsia"/>
                <w:sz w:val="24"/>
                <w:szCs w:val="24"/>
                <w:lang w:eastAsia="zh-CN"/>
              </w:rPr>
              <w:t>；掌握</w:t>
            </w:r>
            <w:r>
              <w:rPr>
                <w:rFonts w:hint="eastAsia"/>
                <w:sz w:val="24"/>
                <w:szCs w:val="24"/>
              </w:rPr>
              <w:t>处方药和非处方药、国家基本药物和非国家基本药物的内涵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>掌握</w:t>
            </w:r>
            <w:r>
              <w:rPr>
                <w:rFonts w:hint="eastAsia"/>
                <w:sz w:val="24"/>
                <w:szCs w:val="24"/>
              </w:rPr>
              <w:t>药品的质量和药品的质量标准</w:t>
            </w:r>
            <w:r>
              <w:rPr>
                <w:rFonts w:hint="eastAsia"/>
                <w:sz w:val="24"/>
                <w:szCs w:val="24"/>
                <w:lang w:eastAsia="zh-CN"/>
              </w:rPr>
              <w:t>，熟悉</w:t>
            </w:r>
            <w:r>
              <w:rPr>
                <w:rFonts w:hint="eastAsia"/>
                <w:sz w:val="24"/>
                <w:szCs w:val="24"/>
              </w:rPr>
              <w:t>我国现行药品标准的内容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>掌握</w:t>
            </w:r>
            <w:r>
              <w:rPr>
                <w:rFonts w:hint="eastAsia"/>
                <w:sz w:val="24"/>
                <w:szCs w:val="24"/>
              </w:rPr>
              <w:t>药品标签、说明书的主要内容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学会药品的选择原则和使用注意事项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熟悉</w:t>
            </w:r>
            <w:r>
              <w:rPr>
                <w:rFonts w:hint="eastAsia"/>
                <w:sz w:val="24"/>
                <w:szCs w:val="24"/>
              </w:rPr>
              <w:t>特殊群体用药原则和方法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/>
              <w:jc w:val="both"/>
              <w:textAlignment w:val="auto"/>
              <w:rPr>
                <w:rFonts w:hint="eastAsia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  <w:lang w:eastAsia="zh-CN"/>
              </w:rPr>
              <w:t>掌握常见疾病如呼吸系统、消化系统、心血管系统、</w:t>
            </w: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内分泌系统、泌尿系统、血液系统、中枢神经系统的常用药物的药理作用、临床应用、不良反应、注意事项以及药物的合理应用；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/>
              <w:jc w:val="both"/>
              <w:textAlignment w:val="auto"/>
              <w:rPr>
                <w:rFonts w:hint="default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6.掌握常用抗感染药物的分类、代表药物的药理作用、临床应用、不良反应、注意事项以及药物的合理应用；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/>
              <w:jc w:val="both"/>
              <w:textAlignment w:val="auto"/>
              <w:rPr>
                <w:rFonts w:hint="eastAsia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7.熟悉抗过敏药、解毒药各类代表药物的药理作用、临床应用、不良反应、注意事项。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559"/>
              </w:tabs>
              <w:spacing w:before="5" w:after="0" w:line="240" w:lineRule="auto"/>
              <w:ind w:right="0" w:right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8.具有以患者为中心的思想，能够正确合理地选用药物及用药指导。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17" w:type="dxa"/>
          </w:tcPr>
          <w:p>
            <w:pPr>
              <w:pStyle w:val="9"/>
              <w:spacing w:before="2" w:line="240" w:lineRule="auto"/>
              <w:ind w:left="9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药品</w:t>
            </w:r>
          </w:p>
          <w:p>
            <w:pPr>
              <w:pStyle w:val="9"/>
              <w:spacing w:before="2" w:line="240" w:lineRule="auto"/>
              <w:ind w:left="9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</w:t>
            </w:r>
          </w:p>
          <w:p>
            <w:pPr>
              <w:pStyle w:val="9"/>
              <w:spacing w:before="2" w:line="240" w:lineRule="auto"/>
              <w:ind w:left="9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营销</w:t>
            </w:r>
          </w:p>
          <w:p>
            <w:pPr>
              <w:pStyle w:val="9"/>
              <w:spacing w:before="2" w:line="240" w:lineRule="auto"/>
              <w:ind w:left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7843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1.掌握</w:t>
            </w:r>
            <w:r>
              <w:rPr>
                <w:rFonts w:hint="eastAsia"/>
                <w:sz w:val="24"/>
                <w:szCs w:val="24"/>
                <w:lang w:eastAsia="zh-CN"/>
              </w:rPr>
              <w:t>医药消费者的购买行为内容、特点及影响因素；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2.掌握</w:t>
            </w:r>
            <w:r>
              <w:rPr>
                <w:rFonts w:hint="eastAsia"/>
                <w:sz w:val="24"/>
                <w:szCs w:val="24"/>
                <w:lang w:eastAsia="zh-CN"/>
              </w:rPr>
              <w:t>零售药店、医院、医药批发企业三类组织市场的市场调查过程与环境分析、目标市场的选择策略、</w:t>
            </w:r>
            <w:r>
              <w:rPr>
                <w:rFonts w:hint="eastAsia"/>
                <w:sz w:val="24"/>
                <w:szCs w:val="24"/>
                <w:lang w:val="en-US" w:eastAsia="en-US"/>
              </w:rPr>
              <w:t>4P</w:t>
            </w:r>
            <w:r>
              <w:rPr>
                <w:rFonts w:hint="eastAsia"/>
                <w:sz w:val="24"/>
                <w:szCs w:val="24"/>
                <w:lang w:eastAsia="zh-CN"/>
              </w:rPr>
              <w:t>营销组合策略的制定、市场开发与维护等；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3.熟悉</w:t>
            </w:r>
            <w:r>
              <w:rPr>
                <w:rFonts w:hint="eastAsia"/>
                <w:sz w:val="24"/>
                <w:szCs w:val="24"/>
                <w:lang w:eastAsia="zh-CN"/>
              </w:rPr>
              <w:t>市场营销基础知识；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学会运用药品市场营销知识进行策划、市场分析、购买行为分析、策略运用和终端推广的能力。</w:t>
            </w:r>
          </w:p>
        </w:tc>
      </w:tr>
    </w:tbl>
    <w:tbl>
      <w:tblPr>
        <w:tblStyle w:val="4"/>
        <w:tblpPr w:leftFromText="180" w:rightFromText="180" w:vertAnchor="text" w:horzAnchor="page" w:tblpX="1691" w:tblpY="2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917" w:type="dxa"/>
          </w:tcPr>
          <w:p>
            <w:pPr>
              <w:pStyle w:val="9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before="11" w:line="240" w:lineRule="auto"/>
              <w:ind w:left="0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left="218" w:right="206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GSP实务</w:t>
            </w:r>
          </w:p>
        </w:tc>
        <w:tc>
          <w:tcPr>
            <w:tcW w:w="7843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1.掌握GSP管理制度的内容，药品经营企业的组织机构设置及岗位职责；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2.掌握经营场所及库房设施设备要求；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3.熟悉药品质量管理体系文件、内审及风险评估与管理；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4.掌握药品采购管理，药品收货与验收管理，药品储存与养护管理，药品销售及售后管理，药品运输配送管理等；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5.具备按照GSP要求从事药品经营质量及质量管理的能力；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6.具有参与或指导企业GSP认证工作的能力。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528"/>
              </w:tabs>
              <w:spacing w:before="2" w:after="0" w:line="240" w:lineRule="auto"/>
              <w:ind w:right="0" w:rightChars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  <w:szCs w:val="24"/>
        </w:rPr>
      </w:pPr>
    </w:p>
    <w:p>
      <w:pPr>
        <w:spacing w:after="0" w:line="240" w:lineRule="auto"/>
        <w:jc w:val="left"/>
        <w:rPr>
          <w:sz w:val="24"/>
          <w:szCs w:val="24"/>
        </w:rPr>
      </w:pPr>
    </w:p>
    <w:tbl>
      <w:tblPr>
        <w:tblStyle w:val="4"/>
        <w:tblpPr w:leftFromText="180" w:rightFromText="180" w:vertAnchor="text" w:horzAnchor="page" w:tblpX="1661" w:tblpY="80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5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9"/>
              <w:spacing w:before="79" w:line="240" w:lineRule="auto"/>
              <w:ind w:right="105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5674" w:type="dxa"/>
          </w:tcPr>
          <w:p>
            <w:pPr>
              <w:pStyle w:val="9"/>
              <w:spacing w:before="79" w:line="240" w:lineRule="auto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restart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cs="宋体"/>
                <w:sz w:val="24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药学服务</w:t>
            </w: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说明书解读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  <w:vAlign w:val="top"/>
          </w:tcPr>
          <w:p>
            <w:pPr>
              <w:pStyle w:val="9"/>
              <w:ind w:left="104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5674" w:type="dxa"/>
            <w:vAlign w:val="top"/>
          </w:tcPr>
          <w:p>
            <w:pPr>
              <w:pStyle w:val="9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问病荐药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9"/>
              <w:ind w:left="104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处方调配流程及注意事项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121" w:type="dxa"/>
          </w:tcPr>
          <w:p>
            <w:pPr>
              <w:pStyle w:val="9"/>
              <w:ind w:left="104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营销技术</w:t>
            </w:r>
          </w:p>
        </w:tc>
        <w:tc>
          <w:tcPr>
            <w:tcW w:w="5674" w:type="dxa"/>
          </w:tcPr>
          <w:p>
            <w:pPr>
              <w:pStyle w:val="9"/>
              <w:spacing w:before="2"/>
              <w:ind w:left="10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OTC药品销售技术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restart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cs="宋体"/>
                <w:sz w:val="24"/>
                <w:lang w:val="en-US" w:eastAsia="zh-CN"/>
              </w:rPr>
            </w:pPr>
          </w:p>
          <w:p>
            <w:pPr>
              <w:pStyle w:val="9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药品经营质量管理</w:t>
            </w: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首营品种采购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cs="宋体"/>
                <w:sz w:val="24"/>
                <w:lang w:val="en-US" w:eastAsia="zh-CN"/>
              </w:rPr>
            </w:pP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药品陈列要求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cs="宋体"/>
                <w:sz w:val="24"/>
                <w:lang w:val="en-US" w:eastAsia="zh-CN"/>
              </w:rPr>
            </w:pP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药品入库验收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9"/>
              <w:ind w:left="104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药品储存养护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9"/>
              <w:ind w:left="104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9"/>
              <w:ind w:left="10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药品出库复核</w:t>
            </w:r>
          </w:p>
        </w:tc>
      </w:tr>
    </w:tbl>
    <w:p>
      <w:pPr>
        <w:numPr>
          <w:ilvl w:val="0"/>
          <w:numId w:val="1"/>
        </w:numPr>
        <w:spacing w:before="79"/>
        <w:ind w:left="440" w:leftChars="0" w:right="0" w:firstLineChars="0"/>
        <w:jc w:val="left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</w:t>
      </w:r>
      <w:r>
        <w:rPr>
          <w:rFonts w:hint="eastAsia"/>
          <w:b/>
          <w:sz w:val="24"/>
          <w:lang w:eastAsia="zh-CN"/>
        </w:rPr>
        <w:t>）</w:t>
      </w:r>
    </w:p>
    <w:p>
      <w:pPr>
        <w:widowControl w:val="0"/>
        <w:numPr>
          <w:numId w:val="0"/>
        </w:numPr>
        <w:autoSpaceDE w:val="0"/>
        <w:autoSpaceDN w:val="0"/>
        <w:spacing w:before="79" w:after="0" w:line="240" w:lineRule="auto"/>
        <w:ind w:right="0" w:rightChars="0"/>
        <w:jc w:val="left"/>
        <w:rPr>
          <w:b/>
          <w:sz w:val="24"/>
        </w:rPr>
      </w:pPr>
    </w:p>
    <w:p>
      <w:pPr>
        <w:widowControl w:val="0"/>
        <w:numPr>
          <w:numId w:val="0"/>
        </w:numPr>
        <w:autoSpaceDE w:val="0"/>
        <w:autoSpaceDN w:val="0"/>
        <w:spacing w:before="79" w:after="0" w:line="240" w:lineRule="auto"/>
        <w:ind w:right="0" w:rightChars="0"/>
        <w:jc w:val="left"/>
        <w:rPr>
          <w:b/>
          <w:sz w:val="24"/>
        </w:rPr>
      </w:pPr>
    </w:p>
    <w:p>
      <w:pPr>
        <w:spacing w:before="80"/>
        <w:ind w:right="0" w:firstLine="964" w:firstLineChars="400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三、参考资料</w:t>
      </w:r>
    </w:p>
    <w:p>
      <w:pPr>
        <w:pStyle w:val="3"/>
        <w:spacing w:line="364" w:lineRule="auto"/>
        <w:ind w:left="340" w:right="459" w:firstLine="479"/>
      </w:pPr>
      <w:r>
        <w:rPr>
          <w:spacing w:val="-8"/>
        </w:rPr>
        <w:t>本测试无指定参考教材，可参考中职教材《</w:t>
      </w:r>
      <w:r>
        <w:rPr>
          <w:rFonts w:hint="eastAsia"/>
          <w:spacing w:val="-8"/>
          <w:lang w:val="en-US" w:eastAsia="zh-CN"/>
        </w:rPr>
        <w:t>医药商品学</w:t>
      </w:r>
      <w:r>
        <w:rPr>
          <w:spacing w:val="-8"/>
        </w:rPr>
        <w:t>》《</w:t>
      </w:r>
      <w:r>
        <w:rPr>
          <w:rFonts w:hint="eastAsia"/>
          <w:spacing w:val="-8"/>
          <w:lang w:val="en-US" w:eastAsia="zh-CN"/>
        </w:rPr>
        <w:t>药品市场营销技术</w:t>
      </w:r>
      <w:r>
        <w:rPr>
          <w:spacing w:val="-21"/>
        </w:rPr>
        <w:t>》《</w:t>
      </w:r>
      <w:r>
        <w:rPr>
          <w:rFonts w:hint="eastAsia"/>
          <w:spacing w:val="-21"/>
          <w:lang w:val="en-US" w:eastAsia="zh-CN"/>
        </w:rPr>
        <w:t>GSP实务</w:t>
      </w:r>
      <w:r>
        <w:rPr>
          <w:spacing w:val="-21"/>
        </w:rPr>
        <w:t>》。</w:t>
      </w:r>
    </w:p>
    <w:p>
      <w:pPr>
        <w:widowControl w:val="0"/>
        <w:numPr>
          <w:numId w:val="0"/>
        </w:numPr>
        <w:autoSpaceDE w:val="0"/>
        <w:autoSpaceDN w:val="0"/>
        <w:spacing w:before="79" w:after="0" w:line="240" w:lineRule="auto"/>
        <w:ind w:right="0" w:rightChars="0"/>
        <w:jc w:val="left"/>
        <w:rPr>
          <w:b/>
          <w:sz w:val="24"/>
        </w:rPr>
        <w:sectPr>
          <w:footerReference r:id="rId5" w:type="default"/>
          <w:type w:val="continuous"/>
          <w:pgSz w:w="11910" w:h="16840"/>
          <w:pgMar w:top="1580" w:right="1340" w:bottom="1380" w:left="1460" w:header="720" w:footer="1195" w:gutter="0"/>
          <w:pgNumType w:start="1"/>
          <w:cols w:space="720" w:num="1"/>
        </w:sectPr>
      </w:pPr>
    </w:p>
    <w:p>
      <w:pPr>
        <w:spacing w:before="80"/>
        <w:ind w:left="813" w:right="0" w:firstLine="0"/>
        <w:jc w:val="left"/>
        <w:rPr>
          <w:b/>
          <w:sz w:val="24"/>
        </w:rPr>
      </w:pPr>
    </w:p>
    <w:sectPr>
      <w:pgSz w:w="11910" w:h="16840"/>
      <w:pgMar w:top="1420" w:right="1340" w:bottom="1380" w:left="146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92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6EWx+twAAAAN&#10;AQAADwAAAGRycy9kb3ducmV2LnhtbE2Py07DMBBF90j8gzWV2FG7TWvaNE6FEKyQUNOwYOnE0yRq&#10;PA6x++DvcVewnLlHd85k26vt2RlH3zlSMJsKYEi1Mx01Cj7Lt8cVMB80Gd07QgU/6GGb399lOjXu&#10;QgWe96FhsYR8qhW0IQwp575u0Wo/dQNSzA5utDrEcWy4GfUlltuez4WQ3OqO4oVWD/jSYn3cn6yC&#10;5y8qXrvvj2pXHIquLNeC3uVRqYfJTGyABbyGPxhu+lEd8uhUuRMZz3oFy5V8imgMlot5AiwiUiRr&#10;YNVtJRcJ8Dzj/7/IfwFQSwMEFAAAAAgAh07iQB9lFLi8AQAAdAMAAA4AAABkcnMvZTJvRG9jLnht&#10;bK1TQW7bMBC8F8gfCN5jyirSNoLlAIWRoEDRFkj7AJoiLQIklyBpS/5A+4Oeeum97/I7uqRlp00u&#10;OeQiLXdXszOz1OJmtIbsZIgaXEvns4oS6QR02m1a+u3r7eU7SmLiruMGnGzpXkZ6s7x4tRh8I2vo&#10;wXQyEARxsRl8S/uUfMNYFL20PM7AS4dFBcHyhMewYV3gA6Jbw+qqesMGCJ0PIGSMmF0di3RCDM8B&#10;BKW0kCsQWytdOqIGaXhCSbHXPtJlYauUFOmzUlEmYlqKSlN54hCM1/nJlgvebAL3vRYTBf4cCo80&#10;Wa4dDj1DrXjiZBv0EyirRYAIKs0EWHYUUhxBFfPqkTf3PfeyaEGroz+bHl8OVnzafQlEd3gTKHHc&#10;4sIPP38cfv05/P5O5lV9lR0afGyw8d5jaxrfw5i7p3zEZBY+qmDzGyURrKO/+7O/ckxE5I+q67rG&#10;isDS/PX126r4zx4+9iGmOwmW5KClAddXXOW7jzHhQGw9teRZDm61MWWFxv2XwMacYZn5kWGO0rge&#10;J9pr6PaoxnxwaGa+GKcgnIL1Kdj6oDc90imaCyQuo5CZLk7e9r/nMvjhZ1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hFsfrcAAAADQEAAA8AAAAAAAAAAQAgAAAAIgAAAGRycy9kb3ducmV2Lnht&#10;bFBLAQIUABQAAAAIAIdO4kAfZRS4vAEAAHQDAAAOAAAAAAAAAAEAIAAAACs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10E7D"/>
    <w:multiLevelType w:val="singleLevel"/>
    <w:tmpl w:val="83410E7D"/>
    <w:lvl w:ilvl="0" w:tentative="0">
      <w:start w:val="2"/>
      <w:numFmt w:val="chineseCounting"/>
      <w:suff w:val="nothing"/>
      <w:lvlText w:val="（%1）"/>
      <w:lvlJc w:val="left"/>
      <w:pPr>
        <w:ind w:left="4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MzIxNWRiYTAyMzdlNDA0NmRmOGYxNTBiZjVhYWIifQ=="/>
  </w:docVars>
  <w:rsids>
    <w:rsidRoot w:val="00000000"/>
    <w:rsid w:val="063B74F6"/>
    <w:rsid w:val="0A62121E"/>
    <w:rsid w:val="0A922AE3"/>
    <w:rsid w:val="0A965906"/>
    <w:rsid w:val="0BEB340A"/>
    <w:rsid w:val="0E985154"/>
    <w:rsid w:val="13841D40"/>
    <w:rsid w:val="13D6674E"/>
    <w:rsid w:val="1A52491C"/>
    <w:rsid w:val="23FA00FA"/>
    <w:rsid w:val="24D309E8"/>
    <w:rsid w:val="258F21F6"/>
    <w:rsid w:val="2AA220AD"/>
    <w:rsid w:val="2DE37067"/>
    <w:rsid w:val="2E1C6453"/>
    <w:rsid w:val="2F620B3B"/>
    <w:rsid w:val="2FCE55D3"/>
    <w:rsid w:val="30A11DC6"/>
    <w:rsid w:val="35071DDB"/>
    <w:rsid w:val="38617612"/>
    <w:rsid w:val="3BCC6A92"/>
    <w:rsid w:val="3E20109F"/>
    <w:rsid w:val="3E567C58"/>
    <w:rsid w:val="401F3A32"/>
    <w:rsid w:val="46ED29C9"/>
    <w:rsid w:val="4A790F43"/>
    <w:rsid w:val="4B3800BD"/>
    <w:rsid w:val="539F0A1D"/>
    <w:rsid w:val="556233C2"/>
    <w:rsid w:val="56E11ADD"/>
    <w:rsid w:val="591A73B8"/>
    <w:rsid w:val="5BB029AE"/>
    <w:rsid w:val="5E4139D8"/>
    <w:rsid w:val="6ECE7087"/>
    <w:rsid w:val="74602D6B"/>
    <w:rsid w:val="75064FD0"/>
    <w:rsid w:val="76C3637A"/>
    <w:rsid w:val="7BC24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1110</Characters>
  <TotalTime>2</TotalTime>
  <ScaleCrop>false</ScaleCrop>
  <LinksUpToDate>false</LinksUpToDate>
  <CharactersWithSpaces>1121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hp</dc:creator>
  <cp:lastModifiedBy>DELL</cp:lastModifiedBy>
  <cp:lastPrinted>2022-03-10T01:23:00Z</cp:lastPrinted>
  <dcterms:modified xsi:type="dcterms:W3CDTF">2023-03-29T12:07:29Z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6E7EAEE9A1D347FC9D1B792D6770E1B0</vt:lpwstr>
  </property>
</Properties>
</file>